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Grant</w:t>
      </w:r>
      <w:r>
        <w:t xml:space="preserve"> </w:t>
      </w:r>
      <w:r>
        <w:t xml:space="preserve">and</w:t>
      </w:r>
      <w:r>
        <w:t xml:space="preserve"> </w:t>
      </w:r>
      <w:r>
        <w:t xml:space="preserve">Funder</w:t>
      </w:r>
      <w:r>
        <w:t xml:space="preserve"> </w:t>
      </w:r>
      <w:r>
        <w:t xml:space="preserve">One-Pager</w:t>
      </w:r>
    </w:p>
    <w:p>
      <w:pPr>
        <w:pStyle w:val="Author"/>
      </w:pPr>
      <w:r>
        <w:t xml:space="preserve">A</w:t>
      </w:r>
      <w:r>
        <w:t xml:space="preserve"> </w:t>
      </w:r>
      <w:r>
        <w:t xml:space="preserve">Financial</w:t>
      </w:r>
      <w:r>
        <w:t xml:space="preserve"> </w:t>
      </w:r>
      <w:r>
        <w:t xml:space="preserve">Literacy</w:t>
      </w:r>
      <w:r>
        <w:t xml:space="preserve"> </w:t>
      </w:r>
      <w:r>
        <w:t xml:space="preserve">Program</w:t>
      </w:r>
      <w:r>
        <w:t xml:space="preserve"> </w:t>
      </w:r>
      <w:r>
        <w:t xml:space="preserve">for</w:t>
      </w:r>
      <w:r>
        <w:t xml:space="preserve"> </w:t>
      </w:r>
      <w:r>
        <w:t xml:space="preserve">Returning</w:t>
      </w:r>
      <w:r>
        <w:t xml:space="preserve"> </w:t>
      </w:r>
      <w:r>
        <w:t xml:space="preserve">Citizens</w:t>
      </w:r>
    </w:p>
    <w:p>
      <w:pPr>
        <w:pStyle w:val="FirstParagraph"/>
      </w:pPr>
      <w:r>
        <w:t xml:space="preserve">A Financial Literacy Program for Returning Citizens</w:t>
      </w:r>
    </w:p>
    <w:p>
      <w:pPr>
        <w:pStyle w:val="BodyText"/>
      </w:pPr>
      <w:r>
        <w:t xml:space="preserve">Funder Overview, Financially Sovereign Academy</w:t>
      </w:r>
    </w:p>
    <w:p>
      <w:pPr>
        <w:pStyle w:val="Heading1"/>
      </w:pPr>
      <w:bookmarkStart w:id="20" w:name="the-need"/>
      <w:r>
        <w:t xml:space="preserve">The need</w:t>
      </w:r>
      <w:bookmarkEnd w:id="20"/>
    </w:p>
    <w:p>
      <w:pPr>
        <w:pStyle w:val="FirstParagraph"/>
      </w:pPr>
      <w:r>
        <w:t xml:space="preserve">Most people leaving incarceration were never taught basic money skills. After release, many cannot open a bank account and are pushed into cash and high-cost services that drain limited income.</w:t>
      </w:r>
    </w:p>
    <w:p>
      <w:pPr>
        <w:numPr>
          <w:ilvl w:val="0"/>
          <w:numId w:val="1001"/>
        </w:numPr>
        <w:pStyle w:val="Compact"/>
      </w:pPr>
      <w:r>
        <w:t xml:space="preserve">Formerly incarcerated people are more likely to be unbanked than people who were never incarcerated. About 29% of justice-involved people were unbanked even before incarceration, and being unbanked is common after release. (Source: Financial Health Network; Rice University, “Locked out of banking,” 2024.)</w:t>
      </w:r>
    </w:p>
    <w:p>
      <w:pPr>
        <w:numPr>
          <w:ilvl w:val="0"/>
          <w:numId w:val="1001"/>
        </w:numPr>
        <w:pStyle w:val="Compact"/>
      </w:pPr>
      <w:r>
        <w:t xml:space="preserve">The unemployment rate among formerly incarcerated people has been estimated around 27%, far higher than the general population. (Source: Prison Policy Initiative, “Out of Prison and Out of Work.”)</w:t>
      </w:r>
    </w:p>
    <w:p>
      <w:pPr>
        <w:numPr>
          <w:ilvl w:val="0"/>
          <w:numId w:val="1001"/>
        </w:numPr>
        <w:pStyle w:val="Compact"/>
      </w:pPr>
      <w:r>
        <w:t xml:space="preserve">About 62% to 68% of people released from state prison are arrested again within three years. (Source: U.S. Bureau of Justice Statistics recidivism reports. Note: this is re-arrest, not return to prison.)</w:t>
      </w:r>
    </w:p>
    <w:p>
      <w:pPr>
        <w:pStyle w:val="FirstParagraph"/>
      </w:pPr>
      <w:r>
        <w:t xml:space="preserve">Research links steady work and financial stability to lower re-arrest rates. We do not claim our program reduces recidivism by a fixed amount, and we do not have outcome data yet. We describe the program as designed and evidence-informed, and we label every number.</w:t>
      </w:r>
    </w:p>
    <w:p>
      <w:pPr>
        <w:pStyle w:val="Heading1"/>
      </w:pPr>
      <w:bookmarkStart w:id="21" w:name="what-the-program-does"/>
      <w:r>
        <w:t xml:space="preserve">What the program does</w:t>
      </w:r>
      <w:bookmarkEnd w:id="21"/>
    </w:p>
    <w:p>
      <w:pPr>
        <w:pStyle w:val="FirstParagraph"/>
      </w:pPr>
      <w:r>
        <w:t xml:space="preserve">Banking and Credit Rebuilding is a 6-week class that teaches the most urgent money skills after release:</w:t>
      </w:r>
    </w:p>
    <w:p>
      <w:pPr>
        <w:numPr>
          <w:ilvl w:val="0"/>
          <w:numId w:val="1002"/>
        </w:numPr>
        <w:pStyle w:val="Compact"/>
      </w:pPr>
      <w:r>
        <w:t xml:space="preserve">Opening a bank account, including with limited ID or a flagged history (ChexSystems, second-chance accounts, credit unions, CDFIs)</w:t>
      </w:r>
    </w:p>
    <w:p>
      <w:pPr>
        <w:numPr>
          <w:ilvl w:val="0"/>
          <w:numId w:val="1002"/>
        </w:numPr>
        <w:pStyle w:val="Compact"/>
      </w:pPr>
      <w:r>
        <w:t xml:space="preserve">Reading a credit report and understanding a credit score</w:t>
      </w:r>
    </w:p>
    <w:p>
      <w:pPr>
        <w:numPr>
          <w:ilvl w:val="0"/>
          <w:numId w:val="1002"/>
        </w:numPr>
        <w:pStyle w:val="Compact"/>
      </w:pPr>
      <w:r>
        <w:t xml:space="preserve">Safe ways to start rebuilding credit</w:t>
      </w:r>
    </w:p>
    <w:p>
      <w:pPr>
        <w:numPr>
          <w:ilvl w:val="0"/>
          <w:numId w:val="1002"/>
        </w:numPr>
        <w:pStyle w:val="Compact"/>
      </w:pPr>
      <w:r>
        <w:t xml:space="preserve">Spotting and avoiding payday lenders, check cashers, and rent-to-own</w:t>
      </w:r>
    </w:p>
    <w:p>
      <w:pPr>
        <w:numPr>
          <w:ilvl w:val="0"/>
          <w:numId w:val="1002"/>
        </w:numPr>
        <w:pStyle w:val="Compact"/>
      </w:pPr>
      <w:r>
        <w:t xml:space="preserve">First steps for old debt, collections, and court-ordered payments, with referral to free legal help</w:t>
      </w:r>
    </w:p>
    <w:p>
      <w:pPr>
        <w:pStyle w:val="FirstParagraph"/>
      </w:pPr>
      <w:r>
        <w:t xml:space="preserve">It is written in plain language at roughly an 8th-grade reading level, works with no internet, and is designed for correctional and reentry settings.</w:t>
      </w:r>
    </w:p>
    <w:p>
      <w:pPr>
        <w:pStyle w:val="Heading1"/>
      </w:pPr>
      <w:bookmarkStart w:id="22" w:name="how-we-measure-it"/>
      <w:r>
        <w:t xml:space="preserve">How we measure it</w:t>
      </w:r>
      <w:bookmarkEnd w:id="22"/>
    </w:p>
    <w:p>
      <w:pPr>
        <w:numPr>
          <w:ilvl w:val="0"/>
          <w:numId w:val="1003"/>
        </w:numPr>
        <w:pStyle w:val="Compact"/>
      </w:pPr>
      <w:r>
        <w:t xml:space="preserve">Pre and post assessments measure knowledge and confidence.</w:t>
      </w:r>
    </w:p>
    <w:p>
      <w:pPr>
        <w:numPr>
          <w:ilvl w:val="0"/>
          <w:numId w:val="1003"/>
        </w:numPr>
        <w:pStyle w:val="Compact"/>
      </w:pPr>
      <w:r>
        <w:t xml:space="preserve">Attendance logs measure completion.</w:t>
      </w:r>
    </w:p>
    <w:p>
      <w:pPr>
        <w:numPr>
          <w:ilvl w:val="0"/>
          <w:numId w:val="1003"/>
        </w:numPr>
        <w:pStyle w:val="Compact"/>
      </w:pPr>
      <w:r>
        <w:t xml:space="preserve">A 90-day follow-up survey measures real behaviors: opening an account, pulling a credit report, starting a credit-building step, and avoiding predatory services.</w:t>
      </w:r>
    </w:p>
    <w:p>
      <w:pPr>
        <w:pStyle w:val="FirstParagraph"/>
      </w:pPr>
      <w:r>
        <w:t xml:space="preserve">We report results honestly, including low numbers and response rates. We do not convert these into recidivism claims.</w:t>
      </w:r>
    </w:p>
    <w:p>
      <w:pPr>
        <w:pStyle w:val="Heading1"/>
      </w:pPr>
      <w:bookmarkStart w:id="23" w:name="what-makes-it-credible"/>
      <w:r>
        <w:t xml:space="preserve">What makes it credible</w:t>
      </w:r>
      <w:bookmarkEnd w:id="23"/>
    </w:p>
    <w:p>
      <w:pPr>
        <w:numPr>
          <w:ilvl w:val="0"/>
          <w:numId w:val="1004"/>
        </w:numPr>
        <w:pStyle w:val="Compact"/>
      </w:pPr>
      <w:r>
        <w:t xml:space="preserve">Built from an existing, tested financial education library (Financially Sovereign Academy), adapted for reentry, not invented from scratch.</w:t>
      </w:r>
    </w:p>
    <w:p>
      <w:pPr>
        <w:numPr>
          <w:ilvl w:val="0"/>
          <w:numId w:val="1004"/>
        </w:numPr>
        <w:pStyle w:val="Compact"/>
      </w:pPr>
      <w:r>
        <w:t xml:space="preserve">Peer facilitation: we train facilitators with lived reentry experience, which builds trust and creates employment. (This is a design choice supported in general reentry practice.)</w:t>
      </w:r>
    </w:p>
    <w:p>
      <w:pPr>
        <w:numPr>
          <w:ilvl w:val="0"/>
          <w:numId w:val="1004"/>
        </w:numPr>
        <w:pStyle w:val="Compact"/>
      </w:pPr>
      <w:r>
        <w:t xml:space="preserve">Clear boundaries: education only, not financial, legal, or tax advice. High-need cases are referred to qualified local partners.</w:t>
      </w:r>
    </w:p>
    <w:p>
      <w:pPr>
        <w:numPr>
          <w:ilvl w:val="0"/>
          <w:numId w:val="1004"/>
        </w:numPr>
        <w:pStyle w:val="Compact"/>
      </w:pPr>
      <w:r>
        <w:t xml:space="preserve">Honest claims: every statistic is sourced or labeled. We do not overpromise.</w:t>
      </w:r>
    </w:p>
    <w:p>
      <w:pPr>
        <w:pStyle w:val="Heading1"/>
      </w:pPr>
      <w:bookmarkStart w:id="24" w:name="what-funding-supports"/>
      <w:r>
        <w:t xml:space="preserve">What funding supports</w:t>
      </w:r>
      <w:bookmarkEnd w:id="24"/>
    </w:p>
    <w:p>
      <w:pPr>
        <w:numPr>
          <w:ilvl w:val="0"/>
          <w:numId w:val="1005"/>
        </w:numPr>
        <w:pStyle w:val="Compact"/>
      </w:pPr>
      <w:r>
        <w:t xml:space="preserve">Facilitator time and peer facilitator training</w:t>
      </w:r>
    </w:p>
    <w:p>
      <w:pPr>
        <w:numPr>
          <w:ilvl w:val="0"/>
          <w:numId w:val="1005"/>
        </w:numPr>
        <w:pStyle w:val="Compact"/>
      </w:pPr>
      <w:r>
        <w:t xml:space="preserve">Printed materials for participants</w:t>
      </w:r>
    </w:p>
    <w:p>
      <w:pPr>
        <w:numPr>
          <w:ilvl w:val="0"/>
          <w:numId w:val="1005"/>
        </w:numPr>
        <w:pStyle w:val="Compact"/>
      </w:pPr>
      <w:r>
        <w:t xml:space="preserve">Program coordination and partner network building</w:t>
      </w:r>
    </w:p>
    <w:p>
      <w:pPr>
        <w:numPr>
          <w:ilvl w:val="0"/>
          <w:numId w:val="1005"/>
        </w:numPr>
        <w:pStyle w:val="Compact"/>
      </w:pPr>
      <w:r>
        <w:t xml:space="preserve">Outcome tracking and an honest results report</w:t>
      </w:r>
    </w:p>
    <w:p>
      <w:pPr>
        <w:pStyle w:val="Heading1"/>
      </w:pPr>
      <w:bookmarkStart w:id="25" w:name="boundaries"/>
      <w:r>
        <w:t xml:space="preserve">Boundaries</w:t>
      </w:r>
      <w:bookmarkEnd w:id="25"/>
    </w:p>
    <w:p>
      <w:pPr>
        <w:pStyle w:val="FirstParagraph"/>
      </w:pPr>
      <w:r>
        <w:t xml:space="preserve">This program is education and readiness. It does not provide personal financial, legal, or tax advice, design custody or estate plans, or guarantee account approval, a credit score, or reduced recidivism. It connects participants to qualified partners for personal help.</w:t>
      </w:r>
    </w:p>
    <w:p>
      <w:pPr>
        <w:pStyle w:val="Heading1"/>
      </w:pPr>
      <w:bookmarkStart w:id="26" w:name="contact"/>
      <w:r>
        <w:t xml:space="preserve">Contact</w:t>
      </w:r>
      <w:bookmarkEnd w:id="26"/>
    </w:p>
    <w:p>
      <w:pPr>
        <w:pStyle w:val="FirstParagraph"/>
      </w:pPr>
      <w:r>
        <w:t xml:space="preserve">Financially Sovereign Academy Email: thesovereign.academy@proton.me Web: thesovereign.academy Book a consultation: https://meetings.hubspot.com/dalia-platt</w:t>
      </w:r>
    </w:p>
    <w:p>
      <w:pPr>
        <w:pStyle w:val="BodyText"/>
      </w:pPr>
      <w:r>
        <w:rPr>
          <w:i/>
        </w:rPr>
        <w:t xml:space="preserve">Educational content only. Not financial, legal, or tax advice. All statistics are sourced or labeled per our internal Source and Claims Ledger. We do not claim a specific recidivism reduction.</w:t>
      </w:r>
    </w:p>
    <w:p>
      <w:pPr>
        <w:pStyle w:val="BodyText"/>
      </w:pPr>
      <w:r>
        <w:t xml:space="preserve">Educational content only. Not financial, legal, or tax advice. Created by Dalia, Financially Sovereign Academy. Statistics are sourced or labeled per our Source and Claims record.</w:t>
      </w:r>
    </w:p>
    <w:p>
      <w:pPr>
        <w:pStyle w:val="BodyText"/>
      </w:pPr>
      <w:hyperlink r:id="rId27">
        <w:r>
          <w:rPr>
            <w:rStyle w:val="Hyperlink"/>
          </w:rPr>
          <w:t xml:space="preserve">Back to the program page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/institutional/correctional/banking-credit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7" Target="/institutional/correctional/banking-cred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and Funder One-Pager</dc:title>
  <dc:creator>A Financial Literacy Program for Returning Citizens</dc:creator>
  <dc:language/>
  <cp:keywords/>
  <dcterms:created xsi:type="dcterms:W3CDTF">2026-06-24T14:06:01Z</dcterms:created>
  <dcterms:modified xsi:type="dcterms:W3CDTF">2026-06-24T14:06:01Z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pandoc</vt:lpwstr>
  </property>
  <property fmtid="{D5CDD505-2E9C-101B-9397-08002B2CF9AE}" pid="3" name="viewport">
    <vt:lpwstr/>
  </property>
</Properties>
</file>